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A4C" w:rsidRPr="004E0A4C" w:rsidRDefault="004E0A4C" w:rsidP="004E0A4C">
      <w:pPr>
        <w:pStyle w:val="NormalWeb"/>
        <w:spacing w:before="0" w:beforeAutospacing="0" w:after="0" w:afterAutospacing="0" w:line="480" w:lineRule="auto"/>
        <w:rPr>
          <w:color w:val="0E101A"/>
        </w:rPr>
      </w:pPr>
    </w:p>
    <w:p w:rsidR="004E0A4C" w:rsidRPr="004E0A4C" w:rsidRDefault="004E0A4C" w:rsidP="004E0A4C">
      <w:pPr>
        <w:pStyle w:val="NormalWeb"/>
        <w:spacing w:before="0" w:beforeAutospacing="0" w:after="0" w:afterAutospacing="0" w:line="480" w:lineRule="auto"/>
        <w:rPr>
          <w:color w:val="0E101A"/>
        </w:rPr>
      </w:pPr>
    </w:p>
    <w:p w:rsidR="004E0A4C" w:rsidRPr="004E0A4C" w:rsidRDefault="004E0A4C" w:rsidP="004E0A4C">
      <w:pPr>
        <w:pStyle w:val="NormalWeb"/>
        <w:spacing w:before="0" w:beforeAutospacing="0" w:after="0" w:afterAutospacing="0" w:line="480" w:lineRule="auto"/>
        <w:rPr>
          <w:color w:val="0E101A"/>
        </w:rPr>
      </w:pPr>
    </w:p>
    <w:p w:rsidR="004E0A4C" w:rsidRPr="004E0A4C" w:rsidRDefault="00FF4BAE" w:rsidP="004E0A4C">
      <w:pPr>
        <w:pStyle w:val="NormalWeb"/>
        <w:spacing w:before="0" w:beforeAutospacing="0" w:after="0" w:afterAutospacing="0" w:line="480" w:lineRule="auto"/>
        <w:jc w:val="center"/>
        <w:rPr>
          <w:color w:val="0E101A"/>
        </w:rPr>
      </w:pPr>
      <w:r w:rsidRPr="004E0A4C">
        <w:rPr>
          <w:color w:val="0E101A"/>
        </w:rPr>
        <w:t>Name</w:t>
      </w:r>
    </w:p>
    <w:p w:rsidR="004E0A4C" w:rsidRPr="004E0A4C" w:rsidRDefault="00FF4BAE" w:rsidP="004E0A4C">
      <w:pPr>
        <w:pStyle w:val="NormalWeb"/>
        <w:spacing w:before="0" w:beforeAutospacing="0" w:after="0" w:afterAutospacing="0" w:line="480" w:lineRule="auto"/>
        <w:jc w:val="center"/>
        <w:rPr>
          <w:color w:val="0E101A"/>
        </w:rPr>
      </w:pPr>
      <w:r w:rsidRPr="004E0A4C">
        <w:rPr>
          <w:color w:val="0E101A"/>
        </w:rPr>
        <w:t>Institution</w:t>
      </w:r>
    </w:p>
    <w:p w:rsidR="004E0A4C" w:rsidRDefault="00FF4BAE" w:rsidP="004E0A4C">
      <w:pPr>
        <w:pStyle w:val="NormalWeb"/>
        <w:spacing w:before="0" w:beforeAutospacing="0" w:after="0" w:afterAutospacing="0" w:line="480" w:lineRule="auto"/>
        <w:jc w:val="center"/>
        <w:rPr>
          <w:color w:val="0E101A"/>
        </w:rPr>
      </w:pPr>
      <w:r w:rsidRPr="004E0A4C">
        <w:rPr>
          <w:color w:val="0E101A"/>
        </w:rPr>
        <w:t>Date</w:t>
      </w:r>
    </w:p>
    <w:p w:rsidR="00363584" w:rsidRPr="004E0A4C" w:rsidRDefault="00FF4BAE" w:rsidP="004E0A4C">
      <w:pPr>
        <w:pStyle w:val="NormalWeb"/>
        <w:spacing w:before="0" w:beforeAutospacing="0" w:after="0" w:afterAutospacing="0" w:line="480" w:lineRule="auto"/>
        <w:jc w:val="center"/>
        <w:rPr>
          <w:color w:val="0E101A"/>
        </w:rPr>
      </w:pPr>
      <w:r>
        <w:rPr>
          <w:color w:val="0E101A"/>
        </w:rPr>
        <w:t>HRM</w:t>
      </w:r>
    </w:p>
    <w:p w:rsidR="004E0A4C" w:rsidRPr="004E0A4C" w:rsidRDefault="004E0A4C" w:rsidP="004E0A4C">
      <w:pPr>
        <w:pStyle w:val="NormalWeb"/>
        <w:spacing w:before="0" w:beforeAutospacing="0" w:after="0" w:afterAutospacing="0" w:line="480" w:lineRule="auto"/>
        <w:jc w:val="center"/>
        <w:rPr>
          <w:color w:val="0E101A"/>
        </w:rPr>
      </w:pPr>
    </w:p>
    <w:p w:rsidR="004E0A4C" w:rsidRPr="004E0A4C" w:rsidRDefault="004E0A4C" w:rsidP="004E0A4C">
      <w:pPr>
        <w:pStyle w:val="NormalWeb"/>
        <w:spacing w:before="0" w:beforeAutospacing="0" w:after="0" w:afterAutospacing="0" w:line="480" w:lineRule="auto"/>
        <w:jc w:val="center"/>
        <w:rPr>
          <w:color w:val="0E101A"/>
        </w:rPr>
      </w:pPr>
    </w:p>
    <w:p w:rsidR="004E0A4C" w:rsidRPr="004E0A4C" w:rsidRDefault="004E0A4C" w:rsidP="004E0A4C">
      <w:pPr>
        <w:pStyle w:val="NormalWeb"/>
        <w:spacing w:before="0" w:beforeAutospacing="0" w:after="0" w:afterAutospacing="0" w:line="480" w:lineRule="auto"/>
        <w:jc w:val="center"/>
        <w:rPr>
          <w:color w:val="0E101A"/>
        </w:rPr>
      </w:pPr>
    </w:p>
    <w:p w:rsidR="004E0A4C" w:rsidRPr="004E0A4C" w:rsidRDefault="004E0A4C" w:rsidP="004E0A4C">
      <w:pPr>
        <w:pStyle w:val="NormalWeb"/>
        <w:spacing w:before="0" w:beforeAutospacing="0" w:after="0" w:afterAutospacing="0" w:line="480" w:lineRule="auto"/>
        <w:jc w:val="center"/>
        <w:rPr>
          <w:color w:val="0E101A"/>
        </w:rPr>
      </w:pPr>
    </w:p>
    <w:p w:rsidR="004E0A4C" w:rsidRPr="004E0A4C" w:rsidRDefault="004E0A4C" w:rsidP="004E0A4C">
      <w:pPr>
        <w:pStyle w:val="NormalWeb"/>
        <w:spacing w:before="0" w:beforeAutospacing="0" w:after="0" w:afterAutospacing="0" w:line="480" w:lineRule="auto"/>
        <w:jc w:val="center"/>
        <w:rPr>
          <w:color w:val="0E101A"/>
        </w:rPr>
      </w:pPr>
    </w:p>
    <w:p w:rsidR="004E0A4C" w:rsidRPr="004E0A4C" w:rsidRDefault="004E0A4C" w:rsidP="004E0A4C">
      <w:pPr>
        <w:pStyle w:val="NormalWeb"/>
        <w:spacing w:before="0" w:beforeAutospacing="0" w:after="0" w:afterAutospacing="0" w:line="480" w:lineRule="auto"/>
        <w:jc w:val="center"/>
        <w:rPr>
          <w:color w:val="0E101A"/>
        </w:rPr>
      </w:pPr>
    </w:p>
    <w:p w:rsidR="004E0A4C" w:rsidRPr="004E0A4C" w:rsidRDefault="004E0A4C" w:rsidP="004E0A4C">
      <w:pPr>
        <w:pStyle w:val="NormalWeb"/>
        <w:spacing w:before="0" w:beforeAutospacing="0" w:after="0" w:afterAutospacing="0" w:line="480" w:lineRule="auto"/>
        <w:jc w:val="center"/>
        <w:rPr>
          <w:color w:val="0E101A"/>
        </w:rPr>
      </w:pPr>
    </w:p>
    <w:p w:rsidR="004E0A4C" w:rsidRPr="004E0A4C" w:rsidRDefault="004E0A4C" w:rsidP="004E0A4C">
      <w:pPr>
        <w:pStyle w:val="NormalWeb"/>
        <w:spacing w:before="0" w:beforeAutospacing="0" w:after="0" w:afterAutospacing="0" w:line="480" w:lineRule="auto"/>
        <w:jc w:val="center"/>
        <w:rPr>
          <w:color w:val="0E101A"/>
        </w:rPr>
      </w:pPr>
    </w:p>
    <w:p w:rsidR="004E0A4C" w:rsidRPr="004E0A4C" w:rsidRDefault="004E0A4C" w:rsidP="004E0A4C">
      <w:pPr>
        <w:pStyle w:val="NormalWeb"/>
        <w:spacing w:before="0" w:beforeAutospacing="0" w:after="0" w:afterAutospacing="0" w:line="480" w:lineRule="auto"/>
        <w:jc w:val="center"/>
        <w:rPr>
          <w:color w:val="0E101A"/>
        </w:rPr>
      </w:pPr>
    </w:p>
    <w:p w:rsidR="004E0A4C" w:rsidRPr="004E0A4C" w:rsidRDefault="004E0A4C" w:rsidP="004E0A4C">
      <w:pPr>
        <w:pStyle w:val="NormalWeb"/>
        <w:spacing w:before="0" w:beforeAutospacing="0" w:after="0" w:afterAutospacing="0" w:line="480" w:lineRule="auto"/>
        <w:jc w:val="center"/>
        <w:rPr>
          <w:color w:val="0E101A"/>
        </w:rPr>
      </w:pPr>
    </w:p>
    <w:p w:rsidR="004E0A4C" w:rsidRPr="004E0A4C" w:rsidRDefault="004E0A4C" w:rsidP="004E0A4C">
      <w:pPr>
        <w:pStyle w:val="NormalWeb"/>
        <w:spacing w:before="0" w:beforeAutospacing="0" w:after="0" w:afterAutospacing="0" w:line="480" w:lineRule="auto"/>
        <w:jc w:val="center"/>
        <w:rPr>
          <w:color w:val="0E101A"/>
        </w:rPr>
      </w:pPr>
    </w:p>
    <w:p w:rsidR="004E0A4C" w:rsidRPr="004E0A4C" w:rsidRDefault="004E0A4C" w:rsidP="004E0A4C">
      <w:pPr>
        <w:pStyle w:val="NormalWeb"/>
        <w:spacing w:before="0" w:beforeAutospacing="0" w:after="0" w:afterAutospacing="0" w:line="480" w:lineRule="auto"/>
        <w:jc w:val="center"/>
        <w:rPr>
          <w:color w:val="0E101A"/>
        </w:rPr>
      </w:pPr>
    </w:p>
    <w:p w:rsidR="004E0A4C" w:rsidRPr="004E0A4C" w:rsidRDefault="004E0A4C" w:rsidP="004E0A4C">
      <w:pPr>
        <w:pStyle w:val="NormalWeb"/>
        <w:spacing w:before="0" w:beforeAutospacing="0" w:after="0" w:afterAutospacing="0" w:line="480" w:lineRule="auto"/>
        <w:jc w:val="center"/>
        <w:rPr>
          <w:color w:val="0E101A"/>
        </w:rPr>
      </w:pPr>
    </w:p>
    <w:p w:rsidR="004E0A4C" w:rsidRPr="004E0A4C" w:rsidRDefault="004E0A4C" w:rsidP="004E0A4C">
      <w:pPr>
        <w:pStyle w:val="NormalWeb"/>
        <w:spacing w:before="0" w:beforeAutospacing="0" w:after="0" w:afterAutospacing="0" w:line="480" w:lineRule="auto"/>
        <w:jc w:val="center"/>
        <w:rPr>
          <w:color w:val="0E101A"/>
        </w:rPr>
      </w:pPr>
    </w:p>
    <w:p w:rsidR="004E0A4C" w:rsidRPr="004E0A4C" w:rsidRDefault="004E0A4C" w:rsidP="004E0A4C">
      <w:pPr>
        <w:pStyle w:val="NormalWeb"/>
        <w:spacing w:before="0" w:beforeAutospacing="0" w:after="0" w:afterAutospacing="0" w:line="480" w:lineRule="auto"/>
        <w:jc w:val="center"/>
        <w:rPr>
          <w:color w:val="0E101A"/>
        </w:rPr>
      </w:pPr>
    </w:p>
    <w:p w:rsidR="004E0A4C" w:rsidRPr="004E0A4C" w:rsidRDefault="004E0A4C" w:rsidP="004E0A4C">
      <w:pPr>
        <w:pStyle w:val="NormalWeb"/>
        <w:spacing w:before="0" w:beforeAutospacing="0" w:after="0" w:afterAutospacing="0" w:line="480" w:lineRule="auto"/>
        <w:jc w:val="center"/>
        <w:rPr>
          <w:color w:val="0E101A"/>
        </w:rPr>
      </w:pPr>
    </w:p>
    <w:p w:rsidR="004E0A4C" w:rsidRPr="004E0A4C" w:rsidRDefault="004E0A4C" w:rsidP="004E0A4C">
      <w:pPr>
        <w:pStyle w:val="NormalWeb"/>
        <w:spacing w:before="0" w:beforeAutospacing="0" w:after="0" w:afterAutospacing="0" w:line="480" w:lineRule="auto"/>
        <w:jc w:val="center"/>
        <w:rPr>
          <w:color w:val="0E101A"/>
        </w:rPr>
      </w:pPr>
    </w:p>
    <w:p w:rsidR="004E0A4C" w:rsidRPr="004E0A4C" w:rsidRDefault="004E0A4C" w:rsidP="00363584">
      <w:pPr>
        <w:pStyle w:val="NormalWeb"/>
        <w:spacing w:before="0" w:beforeAutospacing="0" w:after="0" w:afterAutospacing="0" w:line="480" w:lineRule="auto"/>
        <w:rPr>
          <w:color w:val="0E101A"/>
        </w:rPr>
      </w:pPr>
    </w:p>
    <w:p w:rsidR="00B4139D" w:rsidRPr="00363584" w:rsidRDefault="00FF4BAE" w:rsidP="004E0A4C">
      <w:pPr>
        <w:pStyle w:val="NormalWeb"/>
        <w:spacing w:before="0" w:beforeAutospacing="0" w:after="0" w:afterAutospacing="0" w:line="480" w:lineRule="auto"/>
        <w:rPr>
          <w:b/>
          <w:color w:val="0E101A"/>
        </w:rPr>
      </w:pPr>
      <w:r w:rsidRPr="00363584">
        <w:rPr>
          <w:b/>
          <w:color w:val="0E101A"/>
        </w:rPr>
        <w:lastRenderedPageBreak/>
        <w:t>Question 1</w:t>
      </w:r>
    </w:p>
    <w:p w:rsidR="00B4139D" w:rsidRPr="004E0A4C" w:rsidRDefault="00FF4BAE" w:rsidP="004E0A4C">
      <w:pPr>
        <w:pStyle w:val="NormalWeb"/>
        <w:spacing w:before="0" w:beforeAutospacing="0" w:after="0" w:afterAutospacing="0" w:line="480" w:lineRule="auto"/>
        <w:ind w:firstLine="720"/>
        <w:rPr>
          <w:color w:val="0E101A"/>
        </w:rPr>
      </w:pPr>
      <w:r w:rsidRPr="004E0A4C">
        <w:rPr>
          <w:color w:val="0E101A"/>
        </w:rPr>
        <w:t>Human resource management today is one of the areas where trends are inevitable. In recent years, there have been ma</w:t>
      </w:r>
      <w:r w:rsidR="00F33D1C" w:rsidRPr="004E0A4C">
        <w:rPr>
          <w:color w:val="0E101A"/>
        </w:rPr>
        <w:t>jor trends in the</w:t>
      </w:r>
      <w:r w:rsidRPr="004E0A4C">
        <w:rPr>
          <w:color w:val="0E101A"/>
        </w:rPr>
        <w:t xml:space="preserve"> management</w:t>
      </w:r>
      <w:r w:rsidR="00F33D1C" w:rsidRPr="004E0A4C">
        <w:rPr>
          <w:color w:val="0E101A"/>
        </w:rPr>
        <w:t xml:space="preserve"> of the human resource</w:t>
      </w:r>
      <w:r w:rsidRPr="004E0A4C">
        <w:rPr>
          <w:color w:val="0E101A"/>
        </w:rPr>
        <w:t xml:space="preserve"> industry whereby looking back fro</w:t>
      </w:r>
      <w:r w:rsidR="00F33D1C" w:rsidRPr="004E0A4C">
        <w:rPr>
          <w:color w:val="0E101A"/>
        </w:rPr>
        <w:t xml:space="preserve">m everything from </w:t>
      </w:r>
      <w:r w:rsidRPr="004E0A4C">
        <w:rPr>
          <w:color w:val="0E101A"/>
        </w:rPr>
        <w:t>the hiring</w:t>
      </w:r>
      <w:r w:rsidR="00F33D1C" w:rsidRPr="004E0A4C">
        <w:rPr>
          <w:color w:val="0E101A"/>
        </w:rPr>
        <w:t xml:space="preserve"> process</w:t>
      </w:r>
      <w:r w:rsidRPr="004E0A4C">
        <w:rPr>
          <w:color w:val="0E101A"/>
        </w:rPr>
        <w:t>, people analytics to the software systems evolvement much has been experienced. Instead of just engaging the workforce of the human resource management and givin</w:t>
      </w:r>
      <w:r w:rsidR="00F33D1C" w:rsidRPr="004E0A4C">
        <w:rPr>
          <w:color w:val="0E101A"/>
        </w:rPr>
        <w:t xml:space="preserve">g an upper hand to the </w:t>
      </w:r>
      <w:r w:rsidRPr="004E0A4C">
        <w:rPr>
          <w:color w:val="0E101A"/>
        </w:rPr>
        <w:t>s</w:t>
      </w:r>
      <w:r w:rsidRPr="004E0A4C">
        <w:rPr>
          <w:color w:val="0E101A"/>
        </w:rPr>
        <w:t>atisfaction</w:t>
      </w:r>
      <w:r w:rsidR="00F33D1C" w:rsidRPr="004E0A4C">
        <w:rPr>
          <w:color w:val="0E101A"/>
        </w:rPr>
        <w:t xml:space="preserve"> level</w:t>
      </w:r>
      <w:r w:rsidRPr="004E0A4C">
        <w:rPr>
          <w:color w:val="0E101A"/>
        </w:rPr>
        <w:t>, their trends today are seen to be inclined to make it possible to enlighten the HR culture overall. Human resource management has moved far forward other than just recruitment merely, management benefits, professional development and eve</w:t>
      </w:r>
      <w:r w:rsidRPr="004E0A4C">
        <w:rPr>
          <w:color w:val="0E101A"/>
        </w:rPr>
        <w:t>n attendance and time. The first major trend in HRM today is the employee experience. More than employees' engagement in the workplace, there has been a shift in focus to the employees' experience. More than mere engagement, concentration has now shifted t</w:t>
      </w:r>
      <w:r w:rsidRPr="004E0A4C">
        <w:rPr>
          <w:color w:val="0E101A"/>
        </w:rPr>
        <w:t>o company culture enhancement and even management of performance. Today, HRM roles are seen to cover the enhancement of the journey map among employees, making it possible to give greater exposure to tools of feedback, productivity tools, employee wellness</w:t>
      </w:r>
      <w:r w:rsidRPr="004E0A4C">
        <w:rPr>
          <w:color w:val="0E101A"/>
        </w:rPr>
        <w:t xml:space="preserve"> apps and even advanced tools of communication. </w:t>
      </w:r>
      <w:r w:rsidR="00363584">
        <w:rPr>
          <w:color w:val="0E101A"/>
        </w:rPr>
        <w:t>“</w:t>
      </w:r>
      <w:r w:rsidRPr="004E0A4C">
        <w:rPr>
          <w:color w:val="0E101A"/>
        </w:rPr>
        <w:t xml:space="preserve">HRM is seen to analyze employees' data in an attempt to address staff need and enhance </w:t>
      </w:r>
      <w:r w:rsidR="00363584">
        <w:rPr>
          <w:color w:val="0E101A"/>
        </w:rPr>
        <w:t>office atmosphere productivity.” (</w:t>
      </w:r>
      <w:r w:rsidR="00363584" w:rsidRPr="004E0A4C">
        <w:rPr>
          <w:rFonts w:eastAsia="Arial Unicode MS"/>
          <w:color w:val="000000"/>
          <w:lang w:val="en-US"/>
        </w:rPr>
        <w:t>Bernardin</w:t>
      </w:r>
      <w:r w:rsidR="00363584">
        <w:rPr>
          <w:rFonts w:eastAsia="Arial Unicode MS"/>
          <w:color w:val="000000"/>
          <w:lang w:val="en-US"/>
        </w:rPr>
        <w:t>, 2003</w:t>
      </w:r>
      <w:r w:rsidR="00363584">
        <w:rPr>
          <w:color w:val="0E101A"/>
        </w:rPr>
        <w:t>)</w:t>
      </w:r>
    </w:p>
    <w:p w:rsidR="00B4139D" w:rsidRPr="004E0A4C" w:rsidRDefault="00FF4BAE" w:rsidP="004E0A4C">
      <w:pPr>
        <w:pStyle w:val="NormalWeb"/>
        <w:spacing w:before="0" w:beforeAutospacing="0" w:after="0" w:afterAutospacing="0" w:line="480" w:lineRule="auto"/>
        <w:ind w:firstLine="720"/>
        <w:rPr>
          <w:color w:val="0E101A"/>
        </w:rPr>
      </w:pPr>
      <w:r w:rsidRPr="004E0A4C">
        <w:rPr>
          <w:color w:val="0E101A"/>
        </w:rPr>
        <w:t>The other trend in HRM today is advancement in analytics. HRM has mov</w:t>
      </w:r>
      <w:r w:rsidRPr="004E0A4C">
        <w:rPr>
          <w:color w:val="0E101A"/>
        </w:rPr>
        <w:t>ed far ahead from just the data of back office to the best of people analytics utilizing. Today, reporting through the dashboards in most companies has been outdated and focus is seen on predictive models. Today, HRM has been focusing more on the predictiv</w:t>
      </w:r>
      <w:r w:rsidRPr="004E0A4C">
        <w:rPr>
          <w:color w:val="0E101A"/>
        </w:rPr>
        <w:t>e models making it possible to enhance performance. The third major trend in HRM is an increased in management systems learning. Despite employees’ position or experience, HRM is enhancing new skills learning to stay updated. Today, constant learning in HR</w:t>
      </w:r>
      <w:r w:rsidRPr="004E0A4C">
        <w:rPr>
          <w:color w:val="0E101A"/>
        </w:rPr>
        <w:t xml:space="preserve">M is a novel trend. HRM today is providing employees with new opportunities making it possible to </w:t>
      </w:r>
      <w:r w:rsidRPr="004E0A4C">
        <w:rPr>
          <w:color w:val="0E101A"/>
        </w:rPr>
        <w:lastRenderedPageBreak/>
        <w:t>progress. The last trend is digitalized recognition and rewards. To trigger performance today, HRM entails recognition and praise. However, in the environment</w:t>
      </w:r>
      <w:r w:rsidRPr="004E0A4C">
        <w:rPr>
          <w:color w:val="0E101A"/>
        </w:rPr>
        <w:t xml:space="preserve"> today, recognition and rewards have gone a top-notch higher to being digitalized. With digital recognition, HRM is excelling by taking steps higher to peer recognition through social media platforms, hence improving performance.</w:t>
      </w:r>
    </w:p>
    <w:p w:rsidR="00B4139D" w:rsidRPr="00363584" w:rsidRDefault="00FF4BAE" w:rsidP="004E0A4C">
      <w:pPr>
        <w:pStyle w:val="NormalWeb"/>
        <w:spacing w:before="0" w:beforeAutospacing="0" w:after="0" w:afterAutospacing="0" w:line="480" w:lineRule="auto"/>
        <w:rPr>
          <w:b/>
          <w:color w:val="0E101A"/>
        </w:rPr>
      </w:pPr>
      <w:r w:rsidRPr="00363584">
        <w:rPr>
          <w:b/>
          <w:color w:val="0E101A"/>
        </w:rPr>
        <w:t>Question 2</w:t>
      </w:r>
    </w:p>
    <w:p w:rsidR="00B4139D" w:rsidRPr="004E0A4C" w:rsidRDefault="00FF4BAE" w:rsidP="004E0A4C">
      <w:pPr>
        <w:pStyle w:val="NormalWeb"/>
        <w:spacing w:before="0" w:beforeAutospacing="0" w:after="0" w:afterAutospacing="0" w:line="480" w:lineRule="auto"/>
        <w:ind w:firstLine="720"/>
        <w:rPr>
          <w:color w:val="0E101A"/>
        </w:rPr>
      </w:pPr>
      <w:r w:rsidRPr="004E0A4C">
        <w:rPr>
          <w:color w:val="0E101A"/>
        </w:rPr>
        <w:t>International h</w:t>
      </w:r>
      <w:r w:rsidRPr="004E0A4C">
        <w:rPr>
          <w:color w:val="0E101A"/>
        </w:rPr>
        <w:t>uman resource management (IHRM) and traditional, domestic human resource management differ from each other although there are some commonalities in areas such as recruitment, staffing, selection, rewards, appraisal and development, etc. It has emerged that</w:t>
      </w:r>
      <w:r w:rsidRPr="004E0A4C">
        <w:rPr>
          <w:color w:val="0E101A"/>
        </w:rPr>
        <w:t xml:space="preserve"> the international HRM is different from the domestic HRM. One of the differences between the IHRM and domestic HRM is on activities. When it comes to international IRM, there are more and valid activities of the human resource. In IHRM, the HR activities </w:t>
      </w:r>
      <w:r w:rsidRPr="004E0A4C">
        <w:rPr>
          <w:color w:val="0E101A"/>
        </w:rPr>
        <w:t xml:space="preserve">volume tends to increase since the activities are performed in a different and wider context. With the domestic HRM, the HR activities are less due to </w:t>
      </w:r>
      <w:r w:rsidR="00363584">
        <w:rPr>
          <w:color w:val="0E101A"/>
        </w:rPr>
        <w:t>the reduced activities overall. “</w:t>
      </w:r>
      <w:r w:rsidRPr="004E0A4C">
        <w:rPr>
          <w:color w:val="0E101A"/>
        </w:rPr>
        <w:t>For example, when it comes to the process of choosing employees in the I</w:t>
      </w:r>
      <w:r w:rsidRPr="004E0A4C">
        <w:rPr>
          <w:color w:val="0E101A"/>
        </w:rPr>
        <w:t>HRM, there is the need for additional training making it possible for an employee to adjust to the new work environment.</w:t>
      </w:r>
      <w:r w:rsidR="00363584">
        <w:rPr>
          <w:color w:val="0E101A"/>
        </w:rPr>
        <w:t>” (</w:t>
      </w:r>
      <w:r w:rsidR="00363584" w:rsidRPr="004E0A4C">
        <w:rPr>
          <w:rFonts w:eastAsia="Arial Unicode MS"/>
          <w:color w:val="000000"/>
          <w:lang w:val="en-US"/>
        </w:rPr>
        <w:t>Bernardin</w:t>
      </w:r>
      <w:r w:rsidR="00363584">
        <w:rPr>
          <w:rFonts w:eastAsia="Arial Unicode MS"/>
          <w:color w:val="000000"/>
          <w:lang w:val="en-US"/>
        </w:rPr>
        <w:t>, 2003</w:t>
      </w:r>
      <w:r w:rsidR="00363584">
        <w:rPr>
          <w:color w:val="0E101A"/>
        </w:rPr>
        <w:t>)</w:t>
      </w:r>
      <w:r w:rsidRPr="004E0A4C">
        <w:rPr>
          <w:color w:val="0E101A"/>
        </w:rPr>
        <w:t xml:space="preserve"> The training is different from the one offered in domestic HRM because the skills in the IHRM take into consideratio</w:t>
      </w:r>
      <w:r w:rsidRPr="004E0A4C">
        <w:rPr>
          <w:color w:val="0E101A"/>
        </w:rPr>
        <w:t xml:space="preserve">n the different needs of customers from an international perspective.  </w:t>
      </w:r>
    </w:p>
    <w:p w:rsidR="00B4139D" w:rsidRPr="004E0A4C" w:rsidRDefault="00FF4BAE" w:rsidP="004E0A4C">
      <w:pPr>
        <w:pStyle w:val="NormalWeb"/>
        <w:spacing w:before="0" w:beforeAutospacing="0" w:after="0" w:afterAutospacing="0" w:line="480" w:lineRule="auto"/>
        <w:ind w:firstLine="720"/>
        <w:rPr>
          <w:color w:val="0E101A"/>
        </w:rPr>
      </w:pPr>
      <w:r w:rsidRPr="004E0A4C">
        <w:rPr>
          <w:color w:val="0E101A"/>
        </w:rPr>
        <w:t>Another difference between IHRM and Domestic HRM is on the need for a broader perspective. IHRM tends to require a wider perspective concerning HR activities. With this in place, IHR m</w:t>
      </w:r>
      <w:r w:rsidRPr="004E0A4C">
        <w:rPr>
          <w:color w:val="0E101A"/>
        </w:rPr>
        <w:t>anagers consider several factors when it comes to the process of decisions making ion any international issues. However, when it comes to domestic HRM, many of these factors become irrelevant. In IHRM, more emphasis is laid on change in employee mix in par</w:t>
      </w:r>
      <w:r w:rsidRPr="004E0A4C">
        <w:rPr>
          <w:color w:val="0E101A"/>
        </w:rPr>
        <w:t xml:space="preserve">ticular employees' nationality. Lastly, there is a high risk of exposure in IHRM </w:t>
      </w:r>
      <w:r w:rsidRPr="004E0A4C">
        <w:rPr>
          <w:color w:val="0E101A"/>
        </w:rPr>
        <w:lastRenderedPageBreak/>
        <w:t>compared to domestic HRM. Risks may come from politics, regulations while in domestic HRM risks are limited due to a smaller exposure. </w:t>
      </w:r>
    </w:p>
    <w:p w:rsidR="00B4139D" w:rsidRPr="00363584" w:rsidRDefault="00FF4BAE" w:rsidP="004E0A4C">
      <w:pPr>
        <w:pStyle w:val="NormalWeb"/>
        <w:spacing w:before="0" w:beforeAutospacing="0" w:after="0" w:afterAutospacing="0" w:line="480" w:lineRule="auto"/>
        <w:rPr>
          <w:b/>
          <w:color w:val="0E101A"/>
        </w:rPr>
      </w:pPr>
      <w:r w:rsidRPr="00363584">
        <w:rPr>
          <w:b/>
          <w:color w:val="0E101A"/>
        </w:rPr>
        <w:t>Question 3</w:t>
      </w:r>
    </w:p>
    <w:p w:rsidR="00B4139D" w:rsidRPr="004E0A4C" w:rsidRDefault="00FF4BAE" w:rsidP="00B259BC">
      <w:pPr>
        <w:pStyle w:val="NormalWeb"/>
        <w:spacing w:before="0" w:beforeAutospacing="0" w:after="0" w:afterAutospacing="0" w:line="480" w:lineRule="auto"/>
        <w:ind w:firstLine="720"/>
        <w:rPr>
          <w:color w:val="0E101A"/>
        </w:rPr>
      </w:pPr>
      <w:r w:rsidRPr="004E0A4C">
        <w:rPr>
          <w:color w:val="0E101A"/>
        </w:rPr>
        <w:t>The terms of separate treatm</w:t>
      </w:r>
      <w:r w:rsidRPr="004E0A4C">
        <w:rPr>
          <w:color w:val="0E101A"/>
        </w:rPr>
        <w:t xml:space="preserve">ent and disparate impact refer to discriminatory practices. The term disparate treatment refers to intentional discrimination, whereas the disparate impact is unintentional discrimination. In an organization, discrimination in the employment context shows </w:t>
      </w:r>
      <w:r w:rsidRPr="004E0A4C">
        <w:rPr>
          <w:color w:val="0E101A"/>
        </w:rPr>
        <w:t>itself in disparate treatment or disparate impact. The two legal terms are not only used in describing employment discrimination form but also as a signal of the analysis used and the respective proof burdens that might be available. When it comes to the t</w:t>
      </w:r>
      <w:r w:rsidRPr="004E0A4C">
        <w:rPr>
          <w:color w:val="0E101A"/>
        </w:rPr>
        <w:t xml:space="preserve">erm disparate treatment in the US, the US Supreme Court defined it as when an employer tends to treat employees less favorably than others due to factors such as national origin, sex, race or color. The employer is found liable depending on whether or not </w:t>
      </w:r>
      <w:r w:rsidRPr="004E0A4C">
        <w:rPr>
          <w:color w:val="0E101A"/>
        </w:rPr>
        <w:t>the particular trait was the motivation for making the decisions in question. In a more precise way, the intent of the employer to discriminate is at issue. On the other hand, the disparate impact tends to focus on the employer's actions discriminatory con</w:t>
      </w:r>
      <w:r w:rsidRPr="004E0A4C">
        <w:rPr>
          <w:color w:val="0E101A"/>
        </w:rPr>
        <w:t xml:space="preserve">sequences. Unlike the disparate treatment, the analysis of the disparate impact involves </w:t>
      </w:r>
      <w:r w:rsidR="00F33D1C" w:rsidRPr="004E0A4C">
        <w:rPr>
          <w:color w:val="0E101A"/>
        </w:rPr>
        <w:t xml:space="preserve">practices employing </w:t>
      </w:r>
      <w:bookmarkStart w:id="0" w:name="_GoBack"/>
      <w:bookmarkEnd w:id="0"/>
      <w:r w:rsidRPr="004E0A4C">
        <w:rPr>
          <w:color w:val="0E101A"/>
        </w:rPr>
        <w:t>that are neutral facially in their effects on employees with varying traits. However, they have a more adverse impact on a group of employees in pa</w:t>
      </w:r>
      <w:r w:rsidRPr="004E0A4C">
        <w:rPr>
          <w:color w:val="0E101A"/>
        </w:rPr>
        <w:t>rticular. If the employer shows that there is the justification of challenged actions because of necessity in business, the liability can be escaped.</w:t>
      </w:r>
      <w:r w:rsidR="00B259BC">
        <w:rPr>
          <w:color w:val="0E101A"/>
        </w:rPr>
        <w:t xml:space="preserve"> (</w:t>
      </w:r>
      <w:r w:rsidR="00B259BC" w:rsidRPr="004E0A4C">
        <w:rPr>
          <w:rFonts w:eastAsia="Arial Unicode MS"/>
          <w:color w:val="000000"/>
          <w:lang w:val="en-US"/>
        </w:rPr>
        <w:t>In De,</w:t>
      </w:r>
      <w:r w:rsidR="00B259BC">
        <w:rPr>
          <w:rFonts w:eastAsia="Arial Unicode MS"/>
          <w:color w:val="000000"/>
          <w:lang w:val="en-US"/>
        </w:rPr>
        <w:t xml:space="preserve"> 2018</w:t>
      </w:r>
      <w:r w:rsidR="00B259BC">
        <w:rPr>
          <w:color w:val="0E101A"/>
        </w:rPr>
        <w:t>)</w:t>
      </w:r>
      <w:r w:rsidR="00B259BC" w:rsidRPr="004E0A4C">
        <w:rPr>
          <w:color w:val="0E101A"/>
        </w:rPr>
        <w:t> </w:t>
      </w:r>
      <w:r w:rsidRPr="004E0A4C">
        <w:rPr>
          <w:color w:val="0E101A"/>
        </w:rPr>
        <w:t> </w:t>
      </w:r>
    </w:p>
    <w:p w:rsidR="00B4139D" w:rsidRPr="00363584" w:rsidRDefault="00FF4BAE" w:rsidP="004E0A4C">
      <w:pPr>
        <w:pStyle w:val="NormalWeb"/>
        <w:spacing w:before="0" w:beforeAutospacing="0" w:after="0" w:afterAutospacing="0" w:line="480" w:lineRule="auto"/>
        <w:rPr>
          <w:b/>
          <w:color w:val="0E101A"/>
        </w:rPr>
      </w:pPr>
      <w:r w:rsidRPr="00363584">
        <w:rPr>
          <w:b/>
          <w:color w:val="0E101A"/>
        </w:rPr>
        <w:t>Question 4</w:t>
      </w:r>
    </w:p>
    <w:p w:rsidR="00B4139D" w:rsidRPr="004E0A4C" w:rsidRDefault="00FF4BAE" w:rsidP="004E0A4C">
      <w:pPr>
        <w:pStyle w:val="NormalWeb"/>
        <w:spacing w:before="0" w:beforeAutospacing="0" w:after="0" w:afterAutospacing="0" w:line="480" w:lineRule="auto"/>
        <w:ind w:firstLine="720"/>
        <w:rPr>
          <w:color w:val="0E101A"/>
        </w:rPr>
      </w:pPr>
      <w:r w:rsidRPr="004E0A4C">
        <w:rPr>
          <w:color w:val="0E101A"/>
        </w:rPr>
        <w:t xml:space="preserve">A recent employment law litigation concerns whether an employer incentive </w:t>
      </w:r>
      <w:r w:rsidRPr="004E0A4C">
        <w:rPr>
          <w:color w:val="0E101A"/>
        </w:rPr>
        <w:t>compensation being wage. The litigation is titled </w:t>
      </w:r>
      <w:r w:rsidRPr="004E0A4C">
        <w:rPr>
          <w:rStyle w:val="Emphasis"/>
          <w:color w:val="0E101A"/>
        </w:rPr>
        <w:t>Levesque v. Schroder Inv. Mgmt. N. Am., Inc., 368 F.Supp.3d 302 (D. Mass. 2019)</w:t>
      </w:r>
    </w:p>
    <w:p w:rsidR="00B4139D" w:rsidRPr="004E0A4C" w:rsidRDefault="00FF4BAE" w:rsidP="004E0A4C">
      <w:pPr>
        <w:pStyle w:val="NormalWeb"/>
        <w:spacing w:before="0" w:beforeAutospacing="0" w:after="0" w:afterAutospacing="0" w:line="480" w:lineRule="auto"/>
        <w:ind w:firstLine="720"/>
        <w:rPr>
          <w:color w:val="0E101A"/>
        </w:rPr>
      </w:pPr>
      <w:r w:rsidRPr="004E0A4C">
        <w:rPr>
          <w:color w:val="0E101A"/>
        </w:rPr>
        <w:lastRenderedPageBreak/>
        <w:t>The litigation holds on to the notion that when an employer fails to pay all earned wages by an employee, there is a high poss</w:t>
      </w:r>
      <w:r w:rsidRPr="004E0A4C">
        <w:rPr>
          <w:color w:val="0E101A"/>
        </w:rPr>
        <w:t>ibility of being held liable for three times the amount with an inclusion of the attorneys’ fees and the interest which is under the Wage Act (the Massachusetts Wage Act) It should also be known that earned wage is not all the compensation that has been pr</w:t>
      </w:r>
      <w:r w:rsidRPr="004E0A4C">
        <w:rPr>
          <w:color w:val="0E101A"/>
        </w:rPr>
        <w:t>omised to an employee. For example, commissions which have been determined and are due and payable are said to be wages earned. However, purely discretionary bonuses are not wages earned. It should be known that wages earned are a fact-specific. In Levesqu</w:t>
      </w:r>
      <w:r w:rsidRPr="004E0A4C">
        <w:rPr>
          <w:color w:val="0E101A"/>
        </w:rPr>
        <w:t>e v. Schroder Inv. Mqmt.N. Am, Inc, employees were provided with and a quantitative bonus based on their sales number shortly after fiscal year close. A case was filed under the Wage act when east coast director was not paid quantitative bonus</w:t>
      </w:r>
    </w:p>
    <w:p w:rsidR="00B4139D" w:rsidRPr="004E0A4C" w:rsidRDefault="00FF4BAE" w:rsidP="004E0A4C">
      <w:pPr>
        <w:pStyle w:val="NormalWeb"/>
        <w:spacing w:before="0" w:beforeAutospacing="0" w:after="0" w:afterAutospacing="0" w:line="480" w:lineRule="auto"/>
        <w:ind w:firstLine="720"/>
        <w:rPr>
          <w:color w:val="0E101A"/>
        </w:rPr>
      </w:pPr>
      <w:r w:rsidRPr="004E0A4C">
        <w:rPr>
          <w:color w:val="0E101A"/>
        </w:rPr>
        <w:t>The HR depar</w:t>
      </w:r>
      <w:r w:rsidRPr="004E0A4C">
        <w:rPr>
          <w:color w:val="0E101A"/>
        </w:rPr>
        <w:t>tment in an organization can help an employer reduce the likelihood of facing litigations with the use of In </w:t>
      </w:r>
      <w:r w:rsidRPr="004E0A4C">
        <w:rPr>
          <w:rStyle w:val="Emphasis"/>
          <w:color w:val="0E101A"/>
        </w:rPr>
        <w:t>Levesque v. Schroder Inv. Mgmt. N. Am., Inc</w:t>
      </w:r>
      <w:r w:rsidRPr="004E0A4C">
        <w:rPr>
          <w:color w:val="0E101A"/>
        </w:rPr>
        <w:t>. The HR department can communicate with the employer on the best ways to compensate employees which wil</w:t>
      </w:r>
      <w:r w:rsidRPr="004E0A4C">
        <w:rPr>
          <w:color w:val="0E101A"/>
        </w:rPr>
        <w:t>l be effective in reducing the possibility of misunderstandings as a result of wages. Employees will hence receive their wages on time without failure making it possible to minimize the possibilities of a lawsuit. With this in place, an organization will f</w:t>
      </w:r>
      <w:r w:rsidRPr="004E0A4C">
        <w:rPr>
          <w:color w:val="0E101A"/>
        </w:rPr>
        <w:t xml:space="preserve">ollow the right procedures when it comes to terminating employees’ contract which will make it possible to minimize misunderstandings which might emerge when conducting these activities. </w:t>
      </w:r>
      <w:r w:rsidR="00363584">
        <w:rPr>
          <w:color w:val="0E101A"/>
        </w:rPr>
        <w:t>“</w:t>
      </w:r>
      <w:r w:rsidRPr="004E0A4C">
        <w:rPr>
          <w:color w:val="0E101A"/>
        </w:rPr>
        <w:t>Overall, an organization will run as usual and losses which might fo</w:t>
      </w:r>
      <w:r w:rsidRPr="004E0A4C">
        <w:rPr>
          <w:color w:val="0E101A"/>
        </w:rPr>
        <w:t>llow are minimized leading to market domination as a result of the HR department assistance.</w:t>
      </w:r>
      <w:r w:rsidR="00363584">
        <w:rPr>
          <w:color w:val="0E101A"/>
        </w:rPr>
        <w:t>” (</w:t>
      </w:r>
      <w:r w:rsidR="00363584" w:rsidRPr="004E0A4C">
        <w:rPr>
          <w:rFonts w:eastAsia="Arial Unicode MS"/>
          <w:color w:val="000000"/>
          <w:lang w:val="en-US"/>
        </w:rPr>
        <w:t>In De,</w:t>
      </w:r>
      <w:r w:rsidR="00363584">
        <w:rPr>
          <w:rFonts w:eastAsia="Arial Unicode MS"/>
          <w:color w:val="000000"/>
          <w:lang w:val="en-US"/>
        </w:rPr>
        <w:t xml:space="preserve"> 2018</w:t>
      </w:r>
      <w:r w:rsidR="00363584">
        <w:rPr>
          <w:color w:val="0E101A"/>
        </w:rPr>
        <w:t>)</w:t>
      </w:r>
      <w:r w:rsidRPr="004E0A4C">
        <w:rPr>
          <w:color w:val="0E101A"/>
        </w:rPr>
        <w:t> </w:t>
      </w:r>
    </w:p>
    <w:p w:rsidR="004E0A4C" w:rsidRPr="004E0A4C" w:rsidRDefault="004E0A4C" w:rsidP="004E0A4C">
      <w:pPr>
        <w:pStyle w:val="NormalWeb"/>
        <w:spacing w:before="0" w:beforeAutospacing="0" w:after="0" w:afterAutospacing="0" w:line="480" w:lineRule="auto"/>
        <w:rPr>
          <w:color w:val="0E101A"/>
        </w:rPr>
      </w:pPr>
    </w:p>
    <w:p w:rsidR="004E0A4C" w:rsidRPr="004E0A4C" w:rsidRDefault="004E0A4C" w:rsidP="004E0A4C">
      <w:pPr>
        <w:pStyle w:val="NormalWeb"/>
        <w:spacing w:before="0" w:beforeAutospacing="0" w:after="0" w:afterAutospacing="0" w:line="480" w:lineRule="auto"/>
        <w:rPr>
          <w:color w:val="0E101A"/>
        </w:rPr>
      </w:pPr>
    </w:p>
    <w:p w:rsidR="004E0A4C" w:rsidRPr="004E0A4C" w:rsidRDefault="004E0A4C" w:rsidP="004E0A4C">
      <w:pPr>
        <w:pStyle w:val="NormalWeb"/>
        <w:spacing w:before="0" w:beforeAutospacing="0" w:after="0" w:afterAutospacing="0" w:line="480" w:lineRule="auto"/>
        <w:rPr>
          <w:color w:val="0E101A"/>
        </w:rPr>
      </w:pPr>
    </w:p>
    <w:p w:rsidR="004E0A4C" w:rsidRPr="004E0A4C" w:rsidRDefault="004E0A4C" w:rsidP="004E0A4C">
      <w:pPr>
        <w:pStyle w:val="NormalWeb"/>
        <w:spacing w:before="0" w:beforeAutospacing="0" w:after="0" w:afterAutospacing="0" w:line="480" w:lineRule="auto"/>
        <w:rPr>
          <w:color w:val="0E101A"/>
        </w:rPr>
      </w:pPr>
    </w:p>
    <w:p w:rsidR="004E0A4C" w:rsidRPr="004E0A4C" w:rsidRDefault="00FF4BAE" w:rsidP="00363584">
      <w:pPr>
        <w:pStyle w:val="NormalWeb"/>
        <w:spacing w:before="0" w:beforeAutospacing="0" w:after="0" w:afterAutospacing="0" w:line="480" w:lineRule="auto"/>
        <w:jc w:val="center"/>
        <w:rPr>
          <w:color w:val="0E101A"/>
        </w:rPr>
      </w:pPr>
      <w:r w:rsidRPr="004E0A4C">
        <w:rPr>
          <w:color w:val="0E101A"/>
        </w:rPr>
        <w:lastRenderedPageBreak/>
        <w:t>References</w:t>
      </w:r>
    </w:p>
    <w:p w:rsidR="004E0A4C" w:rsidRPr="004E0A4C" w:rsidRDefault="00FF4BAE" w:rsidP="004E0A4C">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4E0A4C">
        <w:rPr>
          <w:rFonts w:ascii="Times New Roman" w:eastAsia="Times New Roman" w:hAnsi="Times New Roman" w:cs="Times New Roman"/>
          <w:vanish/>
          <w:sz w:val="24"/>
          <w:szCs w:val="24"/>
          <w:lang w:val="en-US"/>
        </w:rPr>
        <w:t>Top of Form</w:t>
      </w:r>
    </w:p>
    <w:p w:rsidR="004E0A4C" w:rsidRPr="004E0A4C" w:rsidRDefault="00FF4BAE" w:rsidP="004E0A4C">
      <w:pPr>
        <w:shd w:val="clear" w:color="auto" w:fill="FFFFFF"/>
        <w:spacing w:after="0" w:line="480" w:lineRule="auto"/>
        <w:rPr>
          <w:rFonts w:ascii="Times New Roman" w:eastAsia="Arial Unicode MS" w:hAnsi="Times New Roman" w:cs="Times New Roman"/>
          <w:color w:val="000000"/>
          <w:sz w:val="24"/>
          <w:szCs w:val="24"/>
          <w:lang w:val="en-US"/>
        </w:rPr>
      </w:pPr>
      <w:r w:rsidRPr="004E0A4C">
        <w:rPr>
          <w:rFonts w:ascii="Times New Roman" w:eastAsia="Arial Unicode MS" w:hAnsi="Times New Roman" w:cs="Times New Roman"/>
          <w:color w:val="000000"/>
          <w:sz w:val="24"/>
          <w:szCs w:val="24"/>
          <w:lang w:val="en-US"/>
        </w:rPr>
        <w:t>In De, J. S. C. (2018). </w:t>
      </w:r>
      <w:r w:rsidRPr="004E0A4C">
        <w:rPr>
          <w:rFonts w:ascii="Times New Roman" w:eastAsia="Arial Unicode MS" w:hAnsi="Times New Roman" w:cs="Times New Roman"/>
          <w:i/>
          <w:iCs/>
          <w:color w:val="000000"/>
          <w:sz w:val="24"/>
          <w:szCs w:val="24"/>
          <w:lang w:val="en-US"/>
        </w:rPr>
        <w:t>Teaching human resource management: An experiential approach</w:t>
      </w:r>
      <w:r w:rsidRPr="004E0A4C">
        <w:rPr>
          <w:rFonts w:ascii="Times New Roman" w:eastAsia="Arial Unicode MS" w:hAnsi="Times New Roman" w:cs="Times New Roman"/>
          <w:color w:val="000000"/>
          <w:sz w:val="24"/>
          <w:szCs w:val="24"/>
          <w:lang w:val="en-US"/>
        </w:rPr>
        <w:t>.</w:t>
      </w:r>
    </w:p>
    <w:p w:rsidR="004E0A4C" w:rsidRPr="004E0A4C" w:rsidRDefault="00FF4BAE" w:rsidP="004E0A4C">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4E0A4C">
        <w:rPr>
          <w:rFonts w:ascii="Times New Roman" w:eastAsia="Times New Roman" w:hAnsi="Times New Roman" w:cs="Times New Roman"/>
          <w:vanish/>
          <w:sz w:val="24"/>
          <w:szCs w:val="24"/>
          <w:lang w:val="en-US"/>
        </w:rPr>
        <w:t>Bottom of Form</w:t>
      </w:r>
    </w:p>
    <w:p w:rsidR="004E0A4C" w:rsidRPr="004E0A4C" w:rsidRDefault="004E0A4C" w:rsidP="004E0A4C">
      <w:pPr>
        <w:pStyle w:val="NormalWeb"/>
        <w:spacing w:before="0" w:beforeAutospacing="0" w:after="0" w:afterAutospacing="0" w:line="480" w:lineRule="auto"/>
        <w:rPr>
          <w:color w:val="0E101A"/>
        </w:rPr>
      </w:pPr>
    </w:p>
    <w:p w:rsidR="004E0A4C" w:rsidRPr="004E0A4C" w:rsidRDefault="00FF4BAE" w:rsidP="004E0A4C">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4E0A4C">
        <w:rPr>
          <w:rFonts w:ascii="Times New Roman" w:eastAsia="Times New Roman" w:hAnsi="Times New Roman" w:cs="Times New Roman"/>
          <w:vanish/>
          <w:sz w:val="24"/>
          <w:szCs w:val="24"/>
          <w:lang w:val="en-US"/>
        </w:rPr>
        <w:t>Top of Form</w:t>
      </w:r>
    </w:p>
    <w:p w:rsidR="004E0A4C" w:rsidRPr="004E0A4C" w:rsidRDefault="00FF4BAE" w:rsidP="004E0A4C">
      <w:pPr>
        <w:shd w:val="clear" w:color="auto" w:fill="FFFFFF"/>
        <w:spacing w:after="0" w:line="480" w:lineRule="auto"/>
        <w:rPr>
          <w:rFonts w:ascii="Times New Roman" w:eastAsia="Arial Unicode MS" w:hAnsi="Times New Roman" w:cs="Times New Roman"/>
          <w:color w:val="000000"/>
          <w:sz w:val="24"/>
          <w:szCs w:val="24"/>
          <w:lang w:val="en-US"/>
        </w:rPr>
      </w:pPr>
      <w:r w:rsidRPr="004E0A4C">
        <w:rPr>
          <w:rFonts w:ascii="Times New Roman" w:eastAsia="Arial Unicode MS" w:hAnsi="Times New Roman" w:cs="Times New Roman"/>
          <w:color w:val="000000"/>
          <w:sz w:val="24"/>
          <w:szCs w:val="24"/>
          <w:lang w:val="en-US"/>
        </w:rPr>
        <w:t>Bernardin, H. J. (2003). </w:t>
      </w:r>
      <w:r w:rsidRPr="004E0A4C">
        <w:rPr>
          <w:rFonts w:ascii="Times New Roman" w:eastAsia="Arial Unicode MS" w:hAnsi="Times New Roman" w:cs="Times New Roman"/>
          <w:i/>
          <w:iCs/>
          <w:color w:val="000000"/>
          <w:sz w:val="24"/>
          <w:szCs w:val="24"/>
          <w:lang w:val="en-US"/>
        </w:rPr>
        <w:t>Human resource management: An experiential approach</w:t>
      </w:r>
      <w:r w:rsidRPr="004E0A4C">
        <w:rPr>
          <w:rFonts w:ascii="Times New Roman" w:eastAsia="Arial Unicode MS" w:hAnsi="Times New Roman" w:cs="Times New Roman"/>
          <w:color w:val="000000"/>
          <w:sz w:val="24"/>
          <w:szCs w:val="24"/>
          <w:lang w:val="en-US"/>
        </w:rPr>
        <w:t>. Boston, Mass: McGraw-Hill/Irwin.</w:t>
      </w:r>
    </w:p>
    <w:p w:rsidR="004E0A4C" w:rsidRPr="004E0A4C" w:rsidRDefault="00FF4BAE" w:rsidP="004E0A4C">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4E0A4C">
        <w:rPr>
          <w:rFonts w:ascii="Times New Roman" w:eastAsia="Times New Roman" w:hAnsi="Times New Roman" w:cs="Times New Roman"/>
          <w:vanish/>
          <w:sz w:val="24"/>
          <w:szCs w:val="24"/>
          <w:lang w:val="en-US"/>
        </w:rPr>
        <w:t>Bottom of Form</w:t>
      </w:r>
    </w:p>
    <w:p w:rsidR="004E0A4C" w:rsidRPr="004E0A4C" w:rsidRDefault="00FF4BAE" w:rsidP="004E0A4C">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4E0A4C">
        <w:rPr>
          <w:rFonts w:ascii="Times New Roman" w:eastAsia="Times New Roman" w:hAnsi="Times New Roman" w:cs="Times New Roman"/>
          <w:vanish/>
          <w:sz w:val="24"/>
          <w:szCs w:val="24"/>
          <w:lang w:val="en-US"/>
        </w:rPr>
        <w:t>Top of Form</w:t>
      </w:r>
    </w:p>
    <w:p w:rsidR="004E0A4C" w:rsidRPr="004E0A4C" w:rsidRDefault="00FF4BAE" w:rsidP="004E0A4C">
      <w:pPr>
        <w:shd w:val="clear" w:color="auto" w:fill="FFFFFF"/>
        <w:spacing w:after="0" w:line="480" w:lineRule="auto"/>
        <w:rPr>
          <w:rFonts w:ascii="Times New Roman" w:eastAsia="Arial Unicode MS" w:hAnsi="Times New Roman" w:cs="Times New Roman"/>
          <w:color w:val="000000"/>
          <w:sz w:val="24"/>
          <w:szCs w:val="24"/>
          <w:lang w:val="en-US"/>
        </w:rPr>
      </w:pPr>
      <w:r w:rsidRPr="004E0A4C">
        <w:rPr>
          <w:rFonts w:ascii="Times New Roman" w:eastAsia="Arial Unicode MS" w:hAnsi="Times New Roman" w:cs="Times New Roman"/>
          <w:color w:val="000000"/>
          <w:sz w:val="24"/>
          <w:szCs w:val="24"/>
          <w:lang w:val="en-US"/>
        </w:rPr>
        <w:t>Bernardin, H. J., &amp; Russell, J. E. A. (1993). </w:t>
      </w:r>
      <w:r w:rsidRPr="004E0A4C">
        <w:rPr>
          <w:rFonts w:ascii="Times New Roman" w:eastAsia="Arial Unicode MS" w:hAnsi="Times New Roman" w:cs="Times New Roman"/>
          <w:i/>
          <w:iCs/>
          <w:color w:val="000000"/>
          <w:sz w:val="24"/>
          <w:szCs w:val="24"/>
          <w:lang w:val="en-US"/>
        </w:rPr>
        <w:t>Human resource management: An experiential approach</w:t>
      </w:r>
      <w:r w:rsidRPr="004E0A4C">
        <w:rPr>
          <w:rFonts w:ascii="Times New Roman" w:eastAsia="Arial Unicode MS" w:hAnsi="Times New Roman" w:cs="Times New Roman"/>
          <w:color w:val="000000"/>
          <w:sz w:val="24"/>
          <w:szCs w:val="24"/>
          <w:lang w:val="en-US"/>
        </w:rPr>
        <w:t>. New York [etc.: McG</w:t>
      </w:r>
      <w:r w:rsidRPr="004E0A4C">
        <w:rPr>
          <w:rFonts w:ascii="Times New Roman" w:eastAsia="Arial Unicode MS" w:hAnsi="Times New Roman" w:cs="Times New Roman"/>
          <w:color w:val="000000"/>
          <w:sz w:val="24"/>
          <w:szCs w:val="24"/>
          <w:lang w:val="en-US"/>
        </w:rPr>
        <w:t>raw-Hill.</w:t>
      </w:r>
    </w:p>
    <w:p w:rsidR="004E0A4C" w:rsidRPr="004E0A4C" w:rsidRDefault="00FF4BAE" w:rsidP="004E0A4C">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4E0A4C">
        <w:rPr>
          <w:rFonts w:ascii="Times New Roman" w:eastAsia="Times New Roman" w:hAnsi="Times New Roman" w:cs="Times New Roman"/>
          <w:vanish/>
          <w:sz w:val="24"/>
          <w:szCs w:val="24"/>
          <w:lang w:val="en-US"/>
        </w:rPr>
        <w:t>Bottom of Form</w:t>
      </w:r>
    </w:p>
    <w:p w:rsidR="004E0A4C" w:rsidRPr="004E0A4C" w:rsidRDefault="004E0A4C" w:rsidP="004E0A4C">
      <w:pPr>
        <w:pStyle w:val="NormalWeb"/>
        <w:spacing w:before="0" w:beforeAutospacing="0" w:after="0" w:afterAutospacing="0" w:line="480" w:lineRule="auto"/>
        <w:rPr>
          <w:color w:val="0E101A"/>
        </w:rPr>
      </w:pPr>
    </w:p>
    <w:p w:rsidR="003848B4" w:rsidRPr="004E0A4C" w:rsidRDefault="003848B4" w:rsidP="004E0A4C">
      <w:pPr>
        <w:spacing w:line="480" w:lineRule="auto"/>
        <w:rPr>
          <w:rFonts w:ascii="Times New Roman" w:hAnsi="Times New Roman" w:cs="Times New Roman"/>
          <w:sz w:val="24"/>
          <w:szCs w:val="24"/>
        </w:rPr>
      </w:pPr>
    </w:p>
    <w:sectPr w:rsidR="003848B4" w:rsidRPr="004E0A4C" w:rsidSect="004E0A4C">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4BAE" w:rsidRDefault="00FF4BAE" w:rsidP="003A0166">
      <w:pPr>
        <w:spacing w:after="0" w:line="240" w:lineRule="auto"/>
      </w:pPr>
      <w:r>
        <w:separator/>
      </w:r>
    </w:p>
  </w:endnote>
  <w:endnote w:type="continuationSeparator" w:id="1">
    <w:p w:rsidR="00FF4BAE" w:rsidRDefault="00FF4BAE" w:rsidP="003A01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4BAE" w:rsidRDefault="00FF4BAE" w:rsidP="003A0166">
      <w:pPr>
        <w:spacing w:after="0" w:line="240" w:lineRule="auto"/>
      </w:pPr>
      <w:r>
        <w:separator/>
      </w:r>
    </w:p>
  </w:footnote>
  <w:footnote w:type="continuationSeparator" w:id="1">
    <w:p w:rsidR="00FF4BAE" w:rsidRDefault="00FF4BAE" w:rsidP="003A01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A4C" w:rsidRPr="004E0A4C" w:rsidRDefault="00FF4BAE">
    <w:pPr>
      <w:pStyle w:val="Header"/>
      <w:jc w:val="right"/>
      <w:rPr>
        <w:rFonts w:ascii="Times New Roman" w:hAnsi="Times New Roman" w:cs="Times New Roman"/>
        <w:sz w:val="24"/>
        <w:szCs w:val="24"/>
      </w:rPr>
    </w:pPr>
    <w:r w:rsidRPr="004E0A4C">
      <w:rPr>
        <w:rFonts w:ascii="Times New Roman" w:hAnsi="Times New Roman" w:cs="Times New Roman"/>
        <w:sz w:val="24"/>
        <w:szCs w:val="24"/>
      </w:rPr>
      <w:t>HRM</w:t>
    </w:r>
    <w:r w:rsidRPr="004E0A4C">
      <w:rPr>
        <w:rFonts w:ascii="Times New Roman" w:hAnsi="Times New Roman" w:cs="Times New Roman"/>
        <w:sz w:val="24"/>
        <w:szCs w:val="24"/>
      </w:rPr>
      <w:tab/>
    </w:r>
    <w:r w:rsidRPr="004E0A4C">
      <w:rPr>
        <w:rFonts w:ascii="Times New Roman" w:hAnsi="Times New Roman" w:cs="Times New Roman"/>
        <w:sz w:val="24"/>
        <w:szCs w:val="24"/>
      </w:rPr>
      <w:tab/>
    </w:r>
    <w:sdt>
      <w:sdtPr>
        <w:rPr>
          <w:rFonts w:ascii="Times New Roman" w:hAnsi="Times New Roman" w:cs="Times New Roman"/>
          <w:sz w:val="24"/>
          <w:szCs w:val="24"/>
        </w:rPr>
        <w:id w:val="14755360"/>
        <w:docPartObj>
          <w:docPartGallery w:val="Page Numbers (Top of Page)"/>
          <w:docPartUnique/>
        </w:docPartObj>
      </w:sdtPr>
      <w:sdtContent>
        <w:r w:rsidR="003A0166" w:rsidRPr="004E0A4C">
          <w:rPr>
            <w:rFonts w:ascii="Times New Roman" w:hAnsi="Times New Roman" w:cs="Times New Roman"/>
            <w:sz w:val="24"/>
            <w:szCs w:val="24"/>
          </w:rPr>
          <w:fldChar w:fldCharType="begin"/>
        </w:r>
        <w:r w:rsidRPr="004E0A4C">
          <w:rPr>
            <w:rFonts w:ascii="Times New Roman" w:hAnsi="Times New Roman" w:cs="Times New Roman"/>
            <w:sz w:val="24"/>
            <w:szCs w:val="24"/>
          </w:rPr>
          <w:instrText xml:space="preserve"> PAGE   \* MERGEFORMAT </w:instrText>
        </w:r>
        <w:r w:rsidR="003A0166" w:rsidRPr="004E0A4C">
          <w:rPr>
            <w:rFonts w:ascii="Times New Roman" w:hAnsi="Times New Roman" w:cs="Times New Roman"/>
            <w:sz w:val="24"/>
            <w:szCs w:val="24"/>
          </w:rPr>
          <w:fldChar w:fldCharType="separate"/>
        </w:r>
        <w:r w:rsidR="00E7147D">
          <w:rPr>
            <w:rFonts w:ascii="Times New Roman" w:hAnsi="Times New Roman" w:cs="Times New Roman"/>
            <w:noProof/>
            <w:sz w:val="24"/>
            <w:szCs w:val="24"/>
          </w:rPr>
          <w:t>2</w:t>
        </w:r>
        <w:r w:rsidR="003A0166" w:rsidRPr="004E0A4C">
          <w:rPr>
            <w:rFonts w:ascii="Times New Roman" w:hAnsi="Times New Roman" w:cs="Times New Roman"/>
            <w:sz w:val="24"/>
            <w:szCs w:val="24"/>
          </w:rPr>
          <w:fldChar w:fldCharType="end"/>
        </w:r>
      </w:sdtContent>
    </w:sdt>
  </w:p>
  <w:p w:rsidR="004E0A4C" w:rsidRPr="004E0A4C" w:rsidRDefault="004E0A4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A4C" w:rsidRPr="004E0A4C" w:rsidRDefault="00FF4BAE">
    <w:pPr>
      <w:pStyle w:val="Header"/>
      <w:jc w:val="right"/>
      <w:rPr>
        <w:rFonts w:ascii="Times New Roman" w:hAnsi="Times New Roman" w:cs="Times New Roman"/>
        <w:sz w:val="24"/>
        <w:szCs w:val="24"/>
      </w:rPr>
    </w:pPr>
    <w:r w:rsidRPr="004E0A4C">
      <w:rPr>
        <w:rFonts w:ascii="Times New Roman" w:hAnsi="Times New Roman" w:cs="Times New Roman"/>
        <w:sz w:val="24"/>
        <w:szCs w:val="24"/>
      </w:rPr>
      <w:t>Running Head: HRM</w:t>
    </w:r>
    <w:r w:rsidRPr="004E0A4C">
      <w:rPr>
        <w:rFonts w:ascii="Times New Roman" w:hAnsi="Times New Roman" w:cs="Times New Roman"/>
        <w:sz w:val="24"/>
        <w:szCs w:val="24"/>
      </w:rPr>
      <w:tab/>
    </w:r>
    <w:r w:rsidRPr="004E0A4C">
      <w:rPr>
        <w:rFonts w:ascii="Times New Roman" w:hAnsi="Times New Roman" w:cs="Times New Roman"/>
        <w:sz w:val="24"/>
        <w:szCs w:val="24"/>
      </w:rPr>
      <w:tab/>
    </w:r>
    <w:sdt>
      <w:sdtPr>
        <w:rPr>
          <w:rFonts w:ascii="Times New Roman" w:hAnsi="Times New Roman" w:cs="Times New Roman"/>
          <w:sz w:val="24"/>
          <w:szCs w:val="24"/>
        </w:rPr>
        <w:id w:val="14755367"/>
        <w:docPartObj>
          <w:docPartGallery w:val="Page Numbers (Top of Page)"/>
          <w:docPartUnique/>
        </w:docPartObj>
      </w:sdtPr>
      <w:sdtContent>
        <w:r w:rsidR="003A0166" w:rsidRPr="004E0A4C">
          <w:rPr>
            <w:rFonts w:ascii="Times New Roman" w:hAnsi="Times New Roman" w:cs="Times New Roman"/>
            <w:sz w:val="24"/>
            <w:szCs w:val="24"/>
          </w:rPr>
          <w:fldChar w:fldCharType="begin"/>
        </w:r>
        <w:r w:rsidRPr="004E0A4C">
          <w:rPr>
            <w:rFonts w:ascii="Times New Roman" w:hAnsi="Times New Roman" w:cs="Times New Roman"/>
            <w:sz w:val="24"/>
            <w:szCs w:val="24"/>
          </w:rPr>
          <w:instrText xml:space="preserve"> PAGE   \* MERGEFORMAT </w:instrText>
        </w:r>
        <w:r w:rsidR="003A0166" w:rsidRPr="004E0A4C">
          <w:rPr>
            <w:rFonts w:ascii="Times New Roman" w:hAnsi="Times New Roman" w:cs="Times New Roman"/>
            <w:sz w:val="24"/>
            <w:szCs w:val="24"/>
          </w:rPr>
          <w:fldChar w:fldCharType="separate"/>
        </w:r>
        <w:r w:rsidR="00E7147D">
          <w:rPr>
            <w:rFonts w:ascii="Times New Roman" w:hAnsi="Times New Roman" w:cs="Times New Roman"/>
            <w:noProof/>
            <w:sz w:val="24"/>
            <w:szCs w:val="24"/>
          </w:rPr>
          <w:t>1</w:t>
        </w:r>
        <w:r w:rsidR="003A0166" w:rsidRPr="004E0A4C">
          <w:rPr>
            <w:rFonts w:ascii="Times New Roman" w:hAnsi="Times New Roman" w:cs="Times New Roman"/>
            <w:sz w:val="24"/>
            <w:szCs w:val="24"/>
          </w:rPr>
          <w:fldChar w:fldCharType="end"/>
        </w:r>
      </w:sdtContent>
    </w:sdt>
  </w:p>
  <w:p w:rsidR="004E0A4C" w:rsidRPr="004E0A4C" w:rsidRDefault="004E0A4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20"/>
  <w:characterSpacingControl w:val="doNotCompress"/>
  <w:footnotePr>
    <w:footnote w:id="0"/>
    <w:footnote w:id="1"/>
  </w:footnotePr>
  <w:endnotePr>
    <w:endnote w:id="0"/>
    <w:endnote w:id="1"/>
  </w:endnotePr>
  <w:compat/>
  <w:rsids>
    <w:rsidRoot w:val="001B2603"/>
    <w:rsid w:val="0007279A"/>
    <w:rsid w:val="001B2603"/>
    <w:rsid w:val="002A35EF"/>
    <w:rsid w:val="00336237"/>
    <w:rsid w:val="00357297"/>
    <w:rsid w:val="00363584"/>
    <w:rsid w:val="003848B4"/>
    <w:rsid w:val="00392E3C"/>
    <w:rsid w:val="003A0166"/>
    <w:rsid w:val="00415DC2"/>
    <w:rsid w:val="004E0A4C"/>
    <w:rsid w:val="005075C7"/>
    <w:rsid w:val="006E395F"/>
    <w:rsid w:val="00825518"/>
    <w:rsid w:val="00853423"/>
    <w:rsid w:val="008C35D1"/>
    <w:rsid w:val="00916C8D"/>
    <w:rsid w:val="009966B8"/>
    <w:rsid w:val="00AC709D"/>
    <w:rsid w:val="00AD5E78"/>
    <w:rsid w:val="00B259BC"/>
    <w:rsid w:val="00B4139D"/>
    <w:rsid w:val="00B76846"/>
    <w:rsid w:val="00B83198"/>
    <w:rsid w:val="00BF268C"/>
    <w:rsid w:val="00C90FDF"/>
    <w:rsid w:val="00D258BD"/>
    <w:rsid w:val="00E7147D"/>
    <w:rsid w:val="00F33D1C"/>
    <w:rsid w:val="00FF4B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C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258BD"/>
    <w:rPr>
      <w:i/>
      <w:iCs/>
    </w:rPr>
  </w:style>
  <w:style w:type="paragraph" w:styleId="NormalWeb">
    <w:name w:val="Normal (Web)"/>
    <w:basedOn w:val="Normal"/>
    <w:uiPriority w:val="99"/>
    <w:semiHidden/>
    <w:unhideWhenUsed/>
    <w:rsid w:val="00B4139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hidden/>
    <w:uiPriority w:val="99"/>
    <w:semiHidden/>
    <w:unhideWhenUsed/>
    <w:rsid w:val="004E0A4C"/>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4E0A4C"/>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4E0A4C"/>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4E0A4C"/>
    <w:rPr>
      <w:rFonts w:ascii="Arial" w:eastAsia="Times New Roman" w:hAnsi="Arial" w:cs="Arial"/>
      <w:vanish/>
      <w:sz w:val="16"/>
      <w:szCs w:val="16"/>
      <w:lang w:val="en-US"/>
    </w:rPr>
  </w:style>
  <w:style w:type="paragraph" w:styleId="Header">
    <w:name w:val="header"/>
    <w:basedOn w:val="Normal"/>
    <w:link w:val="HeaderChar"/>
    <w:uiPriority w:val="99"/>
    <w:unhideWhenUsed/>
    <w:rsid w:val="004E0A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0A4C"/>
  </w:style>
  <w:style w:type="paragraph" w:styleId="Footer">
    <w:name w:val="footer"/>
    <w:basedOn w:val="Normal"/>
    <w:link w:val="FooterChar"/>
    <w:uiPriority w:val="99"/>
    <w:semiHidden/>
    <w:unhideWhenUsed/>
    <w:rsid w:val="004E0A4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E0A4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1220</Words>
  <Characters>6956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2020-07-25T11:58:00Z</dcterms:created>
  <dcterms:modified xsi:type="dcterms:W3CDTF">2020-07-25T11:58:00Z</dcterms:modified>
</cp:coreProperties>
</file>